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80" w:rsidRDefault="0023116E"/>
    <w:p w:rsidR="005553B8" w:rsidRDefault="005553B8"/>
    <w:p w:rsidR="005553B8" w:rsidRPr="008067E3" w:rsidRDefault="005553B8">
      <w:pPr>
        <w:rPr>
          <w:rFonts w:ascii="Book Antiqua" w:hAnsi="Book Antiqua"/>
        </w:rPr>
      </w:pPr>
      <w:r w:rsidRPr="008067E3">
        <w:rPr>
          <w:rFonts w:ascii="Book Antiqua" w:hAnsi="Book Antiqua"/>
        </w:rPr>
        <w:t>January 28</w:t>
      </w:r>
      <w:r w:rsidRPr="008067E3">
        <w:rPr>
          <w:rFonts w:ascii="Book Antiqua" w:hAnsi="Book Antiqua"/>
          <w:vertAlign w:val="superscript"/>
        </w:rPr>
        <w:t>th</w:t>
      </w:r>
      <w:r w:rsidRPr="008067E3">
        <w:rPr>
          <w:rFonts w:ascii="Book Antiqua" w:hAnsi="Book Antiqua"/>
        </w:rPr>
        <w:t>, 2020</w:t>
      </w:r>
    </w:p>
    <w:p w:rsidR="005553B8" w:rsidRPr="008067E3" w:rsidRDefault="005553B8">
      <w:pPr>
        <w:rPr>
          <w:rFonts w:ascii="Book Antiqua" w:hAnsi="Book Antiqua"/>
        </w:rPr>
      </w:pPr>
    </w:p>
    <w:p w:rsidR="005553B8" w:rsidRPr="008067E3" w:rsidRDefault="005553B8">
      <w:pPr>
        <w:rPr>
          <w:rFonts w:ascii="Book Antiqua" w:hAnsi="Book Antiqua"/>
        </w:rPr>
      </w:pPr>
      <w:r w:rsidRPr="008067E3">
        <w:rPr>
          <w:rFonts w:ascii="Book Antiqua" w:hAnsi="Book Antiqua"/>
        </w:rPr>
        <w:t>Dear Property Owner,</w:t>
      </w:r>
    </w:p>
    <w:p w:rsidR="005553B8" w:rsidRPr="008067E3" w:rsidRDefault="005553B8">
      <w:pPr>
        <w:rPr>
          <w:rFonts w:ascii="Book Antiqua" w:hAnsi="Book Antiqua"/>
        </w:rPr>
      </w:pPr>
      <w:r w:rsidRPr="008067E3">
        <w:rPr>
          <w:rFonts w:ascii="Book Antiqua" w:hAnsi="Book Antiqua"/>
        </w:rPr>
        <w:t xml:space="preserve">Enclosed you will find the application for Farm Residence Exemption Form for 2020.  You may have heard that the </w:t>
      </w:r>
      <w:proofErr w:type="gramStart"/>
      <w:r w:rsidRPr="008067E3">
        <w:rPr>
          <w:rFonts w:ascii="Book Antiqua" w:hAnsi="Book Antiqua"/>
        </w:rPr>
        <w:t>criteria</w:t>
      </w:r>
      <w:proofErr w:type="gramEnd"/>
      <w:r w:rsidRPr="008067E3">
        <w:rPr>
          <w:rFonts w:ascii="Book Antiqua" w:hAnsi="Book Antiqua"/>
        </w:rPr>
        <w:t xml:space="preserve"> that qualifies our Active Farmer Category has changed from last year.  Here is what you need to know if you are applying as an active farmer.</w:t>
      </w:r>
    </w:p>
    <w:p w:rsidR="005553B8" w:rsidRPr="008067E3" w:rsidRDefault="005553B8" w:rsidP="005553B8">
      <w:pPr>
        <w:rPr>
          <w:rFonts w:ascii="Book Antiqua" w:hAnsi="Book Antiqua"/>
          <w:sz w:val="24"/>
          <w:szCs w:val="24"/>
        </w:rPr>
      </w:pPr>
      <w:r w:rsidRPr="008067E3">
        <w:rPr>
          <w:rFonts w:ascii="Book Antiqua" w:hAnsi="Book Antiqua"/>
          <w:sz w:val="24"/>
          <w:szCs w:val="24"/>
        </w:rPr>
        <w:t xml:space="preserve">Lawmakers during the 2019 Legislative Session made a major change to the farm residence exemption. Essentially, the changes broaden eligibility but </w:t>
      </w:r>
      <w:r w:rsidRPr="008067E3">
        <w:rPr>
          <w:rFonts w:ascii="Book Antiqua" w:hAnsi="Book Antiqua"/>
          <w:sz w:val="24"/>
          <w:szCs w:val="24"/>
          <w:u w:val="single"/>
        </w:rPr>
        <w:t>require</w:t>
      </w:r>
      <w:r w:rsidRPr="008067E3">
        <w:rPr>
          <w:rFonts w:ascii="Book Antiqua" w:hAnsi="Book Antiqua"/>
          <w:sz w:val="24"/>
          <w:szCs w:val="24"/>
        </w:rPr>
        <w:t xml:space="preserve"> annual farm income verification to qualify. This change is effective taxable year 2020. </w:t>
      </w:r>
      <w:hyperlink r:id="rId6" w:history="1">
        <w:r w:rsidRPr="008067E3">
          <w:rPr>
            <w:rStyle w:val="Hyperlink"/>
            <w:rFonts w:ascii="Book Antiqua" w:hAnsi="Book Antiqua"/>
            <w:sz w:val="24"/>
            <w:szCs w:val="24"/>
          </w:rPr>
          <w:t>SB 2278</w:t>
        </w:r>
      </w:hyperlink>
      <w:r w:rsidRPr="008067E3">
        <w:rPr>
          <w:rFonts w:ascii="Book Antiqua" w:hAnsi="Book Antiqua"/>
          <w:sz w:val="24"/>
          <w:szCs w:val="24"/>
        </w:rPr>
        <w:t xml:space="preserve"> &amp; </w:t>
      </w:r>
      <w:hyperlink r:id="rId7" w:history="1">
        <w:r w:rsidRPr="008067E3">
          <w:rPr>
            <w:rStyle w:val="Hyperlink"/>
            <w:rFonts w:ascii="Book Antiqua" w:hAnsi="Book Antiqua"/>
            <w:sz w:val="24"/>
            <w:szCs w:val="24"/>
          </w:rPr>
          <w:t>SB 2360</w:t>
        </w:r>
      </w:hyperlink>
      <w:r w:rsidRPr="008067E3">
        <w:rPr>
          <w:rFonts w:ascii="Book Antiqua" w:hAnsi="Book Antiqua"/>
          <w:sz w:val="24"/>
          <w:szCs w:val="24"/>
        </w:rPr>
        <w:t xml:space="preserve"> made the changes to </w:t>
      </w:r>
      <w:hyperlink r:id="rId8" w:anchor="nameddest=57-02-08" w:history="1">
        <w:r w:rsidRPr="008067E3">
          <w:rPr>
            <w:rStyle w:val="Hyperlink"/>
            <w:rFonts w:ascii="Book Antiqua" w:hAnsi="Book Antiqua"/>
            <w:sz w:val="24"/>
            <w:szCs w:val="24"/>
          </w:rPr>
          <w:t>57-02-08 (15)</w:t>
        </w:r>
      </w:hyperlink>
      <w:r w:rsidRPr="008067E3">
        <w:rPr>
          <w:rFonts w:ascii="Book Antiqua" w:hAnsi="Book Antiqua"/>
          <w:sz w:val="24"/>
          <w:szCs w:val="24"/>
        </w:rPr>
        <w:t xml:space="preserve">. </w:t>
      </w:r>
    </w:p>
    <w:p w:rsidR="005553B8" w:rsidRPr="008067E3" w:rsidRDefault="005553B8" w:rsidP="005553B8">
      <w:pPr>
        <w:numPr>
          <w:ilvl w:val="0"/>
          <w:numId w:val="1"/>
        </w:numPr>
        <w:spacing w:after="0" w:line="240" w:lineRule="auto"/>
        <w:rPr>
          <w:rFonts w:ascii="Book Antiqua" w:eastAsia="Times New Roman" w:hAnsi="Book Antiqua"/>
          <w:sz w:val="24"/>
          <w:szCs w:val="24"/>
        </w:rPr>
      </w:pPr>
      <w:r w:rsidRPr="008067E3">
        <w:rPr>
          <w:rFonts w:ascii="Book Antiqua" w:eastAsia="Times New Roman" w:hAnsi="Book Antiqua"/>
          <w:sz w:val="24"/>
          <w:szCs w:val="24"/>
        </w:rPr>
        <w:t xml:space="preserve">Eligible if: 66% of </w:t>
      </w:r>
      <w:r w:rsidRPr="008067E3">
        <w:rPr>
          <w:rFonts w:ascii="Book Antiqua" w:eastAsia="Times New Roman" w:hAnsi="Book Antiqua"/>
          <w:sz w:val="24"/>
          <w:szCs w:val="24"/>
          <w:u w:val="single"/>
        </w:rPr>
        <w:t>gross income</w:t>
      </w:r>
      <w:r w:rsidRPr="008067E3">
        <w:rPr>
          <w:rFonts w:ascii="Book Antiqua" w:eastAsia="Times New Roman" w:hAnsi="Book Antiqua"/>
          <w:sz w:val="24"/>
          <w:szCs w:val="24"/>
        </w:rPr>
        <w:t xml:space="preserve"> from farming (applicant &amp; spouse) during any of the </w:t>
      </w:r>
      <w:r w:rsidRPr="008067E3">
        <w:rPr>
          <w:rFonts w:ascii="Book Antiqua" w:eastAsia="Times New Roman" w:hAnsi="Book Antiqua"/>
          <w:b/>
          <w:sz w:val="24"/>
          <w:szCs w:val="24"/>
        </w:rPr>
        <w:t>two</w:t>
      </w:r>
      <w:r w:rsidRPr="008067E3">
        <w:rPr>
          <w:rFonts w:ascii="Book Antiqua" w:eastAsia="Times New Roman" w:hAnsi="Book Antiqua"/>
          <w:sz w:val="24"/>
          <w:szCs w:val="24"/>
        </w:rPr>
        <w:t xml:space="preserve"> preceding calendar years.</w:t>
      </w:r>
    </w:p>
    <w:p w:rsidR="005553B8" w:rsidRPr="008067E3" w:rsidRDefault="005553B8" w:rsidP="005553B8">
      <w:pPr>
        <w:numPr>
          <w:ilvl w:val="1"/>
          <w:numId w:val="1"/>
        </w:numPr>
        <w:spacing w:after="0" w:line="240" w:lineRule="auto"/>
        <w:rPr>
          <w:rFonts w:ascii="Book Antiqua" w:eastAsia="Times New Roman" w:hAnsi="Book Antiqua"/>
          <w:sz w:val="24"/>
          <w:szCs w:val="24"/>
        </w:rPr>
      </w:pPr>
      <w:r w:rsidRPr="008067E3">
        <w:rPr>
          <w:rFonts w:ascii="Book Antiqua" w:eastAsia="Times New Roman" w:hAnsi="Book Antiqua"/>
          <w:sz w:val="24"/>
          <w:szCs w:val="24"/>
        </w:rPr>
        <w:t xml:space="preserve">Eligibility prior to 2019 change: 50% or more of farmer’s net income needed to come from farming activities. </w:t>
      </w:r>
    </w:p>
    <w:p w:rsidR="005553B8" w:rsidRPr="008067E3" w:rsidRDefault="005553B8" w:rsidP="005553B8">
      <w:pPr>
        <w:numPr>
          <w:ilvl w:val="0"/>
          <w:numId w:val="1"/>
        </w:numPr>
        <w:spacing w:after="0" w:line="240" w:lineRule="auto"/>
        <w:rPr>
          <w:rFonts w:ascii="Book Antiqua" w:eastAsia="Times New Roman" w:hAnsi="Book Antiqua"/>
          <w:sz w:val="24"/>
          <w:szCs w:val="24"/>
        </w:rPr>
      </w:pPr>
      <w:r w:rsidRPr="008067E3">
        <w:rPr>
          <w:rFonts w:ascii="Book Antiqua" w:eastAsia="Times New Roman" w:hAnsi="Book Antiqua"/>
          <w:sz w:val="24"/>
          <w:szCs w:val="24"/>
        </w:rPr>
        <w:t>Removes the $40,000 limit for non-farm income (including spouse’s salary)</w:t>
      </w:r>
    </w:p>
    <w:p w:rsidR="005553B8" w:rsidRPr="008067E3" w:rsidRDefault="005553B8" w:rsidP="005553B8">
      <w:pPr>
        <w:numPr>
          <w:ilvl w:val="0"/>
          <w:numId w:val="1"/>
        </w:numPr>
        <w:spacing w:after="0" w:line="240" w:lineRule="auto"/>
        <w:rPr>
          <w:rFonts w:ascii="Book Antiqua" w:eastAsia="Times New Roman" w:hAnsi="Book Antiqua"/>
          <w:sz w:val="24"/>
          <w:szCs w:val="24"/>
        </w:rPr>
      </w:pPr>
      <w:r w:rsidRPr="008067E3">
        <w:rPr>
          <w:rFonts w:ascii="Book Antiqua" w:eastAsia="Times New Roman" w:hAnsi="Book Antiqua"/>
          <w:sz w:val="24"/>
          <w:szCs w:val="24"/>
        </w:rPr>
        <w:t>Requires applicant to demonstrate eligibility</w:t>
      </w:r>
    </w:p>
    <w:p w:rsidR="005553B8" w:rsidRPr="008067E3" w:rsidRDefault="005553B8" w:rsidP="005553B8">
      <w:pPr>
        <w:numPr>
          <w:ilvl w:val="0"/>
          <w:numId w:val="1"/>
        </w:numPr>
        <w:spacing w:after="0" w:line="240" w:lineRule="auto"/>
        <w:rPr>
          <w:rFonts w:ascii="Book Antiqua" w:eastAsia="Times New Roman" w:hAnsi="Book Antiqua"/>
          <w:sz w:val="24"/>
          <w:szCs w:val="24"/>
        </w:rPr>
      </w:pPr>
      <w:r w:rsidRPr="008067E3">
        <w:rPr>
          <w:rFonts w:ascii="Book Antiqua" w:eastAsia="Times New Roman" w:hAnsi="Book Antiqua"/>
          <w:sz w:val="24"/>
          <w:szCs w:val="24"/>
        </w:rPr>
        <w:t xml:space="preserve">Annual application process </w:t>
      </w:r>
    </w:p>
    <w:p w:rsidR="005553B8" w:rsidRPr="008067E3" w:rsidRDefault="005553B8" w:rsidP="005553B8">
      <w:pPr>
        <w:numPr>
          <w:ilvl w:val="0"/>
          <w:numId w:val="1"/>
        </w:numPr>
        <w:spacing w:after="0" w:line="240" w:lineRule="auto"/>
        <w:rPr>
          <w:rFonts w:ascii="Book Antiqua" w:eastAsia="Times New Roman" w:hAnsi="Book Antiqua"/>
          <w:sz w:val="24"/>
          <w:szCs w:val="24"/>
        </w:rPr>
      </w:pPr>
      <w:r w:rsidRPr="008067E3">
        <w:rPr>
          <w:rFonts w:ascii="Book Antiqua" w:eastAsia="Times New Roman" w:hAnsi="Book Antiqua"/>
          <w:sz w:val="24"/>
          <w:szCs w:val="24"/>
        </w:rPr>
        <w:t>Income information confidential</w:t>
      </w:r>
    </w:p>
    <w:p w:rsidR="005553B8" w:rsidRPr="008067E3" w:rsidRDefault="005553B8">
      <w:pPr>
        <w:rPr>
          <w:rFonts w:ascii="Book Antiqua" w:hAnsi="Book Antiqua"/>
        </w:rPr>
      </w:pPr>
    </w:p>
    <w:p w:rsidR="005553B8" w:rsidRPr="008067E3" w:rsidRDefault="005553B8">
      <w:pPr>
        <w:rPr>
          <w:rFonts w:ascii="Book Antiqua" w:hAnsi="Book Antiqua"/>
        </w:rPr>
      </w:pPr>
      <w:r w:rsidRPr="008067E3">
        <w:rPr>
          <w:rFonts w:ascii="Book Antiqua" w:hAnsi="Book Antiqua"/>
        </w:rPr>
        <w:t>What does this mean?  We will need you to submit your initial application</w:t>
      </w:r>
      <w:r w:rsidR="00AF7F58" w:rsidRPr="008067E3">
        <w:rPr>
          <w:rFonts w:ascii="Book Antiqua" w:hAnsi="Book Antiqua"/>
        </w:rPr>
        <w:t xml:space="preserve"> (enclosed)</w:t>
      </w:r>
      <w:r w:rsidRPr="008067E3">
        <w:rPr>
          <w:rFonts w:ascii="Book Antiqua" w:hAnsi="Book Antiqua"/>
        </w:rPr>
        <w:t xml:space="preserve"> to our office by March 1</w:t>
      </w:r>
      <w:r w:rsidRPr="008067E3">
        <w:rPr>
          <w:rFonts w:ascii="Book Antiqua" w:hAnsi="Book Antiqua"/>
          <w:vertAlign w:val="superscript"/>
        </w:rPr>
        <w:t>st</w:t>
      </w:r>
      <w:r w:rsidRPr="008067E3">
        <w:rPr>
          <w:rFonts w:ascii="Book Antiqua" w:hAnsi="Book Antiqua"/>
        </w:rPr>
        <w:t xml:space="preserve">.  Please include contact information with your application </w:t>
      </w:r>
      <w:r w:rsidR="006E31F5" w:rsidRPr="008067E3">
        <w:rPr>
          <w:rFonts w:ascii="Book Antiqua" w:hAnsi="Book Antiqua"/>
        </w:rPr>
        <w:t>so we can</w:t>
      </w:r>
      <w:r w:rsidRPr="008067E3">
        <w:rPr>
          <w:rFonts w:ascii="Book Antiqua" w:hAnsi="Book Antiqua"/>
        </w:rPr>
        <w:t xml:space="preserve"> contact you to set up appointments to do the income worksheet after you have prepared your taxes.  We understand that many of you will not have your taxes prepared and ready by this deadline.  The Tax Equalization office will work with you as you </w:t>
      </w:r>
      <w:r w:rsidR="008067E3">
        <w:rPr>
          <w:rFonts w:ascii="Book Antiqua" w:hAnsi="Book Antiqua"/>
        </w:rPr>
        <w:t>prepare your income taxes</w:t>
      </w:r>
      <w:r w:rsidRPr="008067E3">
        <w:rPr>
          <w:rFonts w:ascii="Book Antiqua" w:hAnsi="Book Antiqua"/>
        </w:rPr>
        <w:t xml:space="preserve"> to do the verification.   If you plan on using 2018</w:t>
      </w:r>
      <w:r w:rsidR="008067E3">
        <w:rPr>
          <w:rFonts w:ascii="Book Antiqua" w:hAnsi="Book Antiqua"/>
        </w:rPr>
        <w:t xml:space="preserve"> income</w:t>
      </w:r>
      <w:r w:rsidRPr="008067E3">
        <w:rPr>
          <w:rFonts w:ascii="Book Antiqua" w:hAnsi="Book Antiqua"/>
        </w:rPr>
        <w:t xml:space="preserve"> to qualify for the 2020 exemption, then feel free to let us know to schedule anytime.  We estimate that the appointments to verify the income percentage will take about 15 minutes.  </w:t>
      </w:r>
      <w:r w:rsidR="00AF7F58" w:rsidRPr="008067E3">
        <w:rPr>
          <w:rFonts w:ascii="Book Antiqua" w:hAnsi="Book Antiqua"/>
        </w:rPr>
        <w:t xml:space="preserve"> We won’t keep any of that paperwork, we will just mark off that you are approved after our appointment.  We are willing to make special arrangements if travelling to the courthouse is a hardship.</w:t>
      </w:r>
      <w:r w:rsidR="008067E3">
        <w:rPr>
          <w:rFonts w:ascii="Book Antiqua" w:hAnsi="Book Antiqua"/>
        </w:rPr>
        <w:t xml:space="preserve">  Those of you that use 2019 to qualify will only have to fill out an application next year, we will be able to use the 2019 qualified income for 20</w:t>
      </w:r>
      <w:r w:rsidR="003B2E80">
        <w:rPr>
          <w:rFonts w:ascii="Book Antiqua" w:hAnsi="Book Antiqua"/>
        </w:rPr>
        <w:t>21, which means that we will only have to meet up to do the income every other year.</w:t>
      </w:r>
    </w:p>
    <w:p w:rsidR="005553B8" w:rsidRPr="008067E3" w:rsidRDefault="005553B8">
      <w:pPr>
        <w:rPr>
          <w:rFonts w:ascii="Book Antiqua" w:hAnsi="Book Antiqua"/>
        </w:rPr>
      </w:pPr>
      <w:r w:rsidRPr="008067E3">
        <w:rPr>
          <w:rFonts w:ascii="Book Antiqua" w:hAnsi="Book Antiqua"/>
        </w:rPr>
        <w:lastRenderedPageBreak/>
        <w:t>All other categories of the Farm Residence Exemption remai</w:t>
      </w:r>
      <w:r w:rsidR="008067E3" w:rsidRPr="008067E3">
        <w:rPr>
          <w:rFonts w:ascii="Book Antiqua" w:hAnsi="Book Antiqua"/>
        </w:rPr>
        <w:t xml:space="preserve">ned unchanged, so the income verification only has to happen if you are an </w:t>
      </w:r>
      <w:r w:rsidR="008067E3" w:rsidRPr="00C4789E">
        <w:rPr>
          <w:rFonts w:ascii="Book Antiqua" w:hAnsi="Book Antiqua"/>
          <w:b/>
        </w:rPr>
        <w:t>active farmer</w:t>
      </w:r>
      <w:r w:rsidR="00C4789E">
        <w:rPr>
          <w:rFonts w:ascii="Book Antiqua" w:hAnsi="Book Antiqua"/>
          <w:b/>
        </w:rPr>
        <w:t xml:space="preserve"> (</w:t>
      </w:r>
      <w:r w:rsidR="00C4789E" w:rsidRPr="00C4789E">
        <w:rPr>
          <w:rFonts w:ascii="Book Antiqua" w:hAnsi="Book Antiqua"/>
          <w:i/>
        </w:rPr>
        <w:t>the first four questions on the application</w:t>
      </w:r>
      <w:r w:rsidR="00C4789E">
        <w:rPr>
          <w:rFonts w:ascii="Book Antiqua" w:hAnsi="Book Antiqua"/>
          <w:b/>
        </w:rPr>
        <w:t>)</w:t>
      </w:r>
      <w:r w:rsidR="008067E3" w:rsidRPr="008067E3">
        <w:rPr>
          <w:rFonts w:ascii="Book Antiqua" w:hAnsi="Book Antiqua"/>
        </w:rPr>
        <w:t>.</w:t>
      </w:r>
      <w:r w:rsidRPr="008067E3">
        <w:rPr>
          <w:rFonts w:ascii="Book Antiqua" w:hAnsi="Book Antiqua"/>
        </w:rPr>
        <w:t xml:space="preserve">  If you are applying as a Retired Farmer for the first time, in order to qualify you had to qualify as an Active Farmer the previous year.  </w:t>
      </w:r>
    </w:p>
    <w:p w:rsidR="00AF7F58" w:rsidRDefault="00AF7F58">
      <w:pPr>
        <w:rPr>
          <w:rFonts w:ascii="Book Antiqua" w:hAnsi="Book Antiqua"/>
        </w:rPr>
      </w:pPr>
      <w:r w:rsidRPr="008067E3">
        <w:rPr>
          <w:rFonts w:ascii="Book Antiqua" w:hAnsi="Book Antiqua"/>
        </w:rPr>
        <w:t xml:space="preserve">Please contact our office if you have any additional questions.  We are always happy to help you fill out your form over the phone.  If you have more than one </w:t>
      </w:r>
      <w:r w:rsidR="008067E3" w:rsidRPr="008067E3">
        <w:rPr>
          <w:rFonts w:ascii="Book Antiqua" w:hAnsi="Book Antiqua"/>
        </w:rPr>
        <w:t xml:space="preserve">house on the parcel, please let us know so we can get you another form.  We will need a separate form for each residence.  </w:t>
      </w:r>
    </w:p>
    <w:p w:rsidR="008067E3" w:rsidRDefault="008067E3">
      <w:pPr>
        <w:rPr>
          <w:rFonts w:ascii="Book Antiqua" w:hAnsi="Book Antiqua"/>
        </w:rPr>
      </w:pPr>
      <w:r>
        <w:rPr>
          <w:rFonts w:ascii="Book Antiqua" w:hAnsi="Book Antiqua"/>
        </w:rPr>
        <w:tab/>
        <w:t xml:space="preserve">Return </w:t>
      </w:r>
      <w:proofErr w:type="gramStart"/>
      <w:r>
        <w:rPr>
          <w:rFonts w:ascii="Book Antiqua" w:hAnsi="Book Antiqua"/>
        </w:rPr>
        <w:t>Forms :</w:t>
      </w:r>
      <w:proofErr w:type="gramEnd"/>
    </w:p>
    <w:p w:rsidR="008067E3" w:rsidRDefault="008067E3" w:rsidP="008067E3">
      <w:pPr>
        <w:spacing w:after="0"/>
        <w:rPr>
          <w:rFonts w:ascii="Book Antiqua" w:hAnsi="Book Antiqua"/>
        </w:rPr>
      </w:pPr>
      <w:r>
        <w:rPr>
          <w:rFonts w:ascii="Book Antiqua" w:hAnsi="Book Antiqua"/>
        </w:rPr>
        <w:tab/>
        <w:t>McKenzie County Tax Equalization</w:t>
      </w:r>
    </w:p>
    <w:p w:rsidR="008067E3" w:rsidRDefault="008067E3" w:rsidP="008067E3">
      <w:pPr>
        <w:spacing w:after="0"/>
        <w:rPr>
          <w:rFonts w:ascii="Book Antiqua" w:hAnsi="Book Antiqua"/>
        </w:rPr>
      </w:pPr>
      <w:r>
        <w:rPr>
          <w:rFonts w:ascii="Book Antiqua" w:hAnsi="Book Antiqua"/>
        </w:rPr>
        <w:tab/>
        <w:t>201 5</w:t>
      </w:r>
      <w:r w:rsidRPr="008067E3">
        <w:rPr>
          <w:rFonts w:ascii="Book Antiqua" w:hAnsi="Book Antiqua"/>
          <w:vertAlign w:val="superscript"/>
        </w:rPr>
        <w:t>th</w:t>
      </w:r>
      <w:r>
        <w:rPr>
          <w:rFonts w:ascii="Book Antiqua" w:hAnsi="Book Antiqua"/>
        </w:rPr>
        <w:t xml:space="preserve"> St NW Suite 797</w:t>
      </w:r>
    </w:p>
    <w:p w:rsidR="008067E3" w:rsidRDefault="008067E3" w:rsidP="008067E3">
      <w:pPr>
        <w:spacing w:after="0"/>
        <w:rPr>
          <w:rFonts w:ascii="Book Antiqua" w:hAnsi="Book Antiqua"/>
        </w:rPr>
      </w:pPr>
      <w:r>
        <w:rPr>
          <w:rFonts w:ascii="Book Antiqua" w:hAnsi="Book Antiqua"/>
        </w:rPr>
        <w:tab/>
        <w:t>Watford City, ND  58854</w:t>
      </w:r>
    </w:p>
    <w:p w:rsidR="008067E3" w:rsidRDefault="008067E3" w:rsidP="008067E3">
      <w:pPr>
        <w:spacing w:after="0"/>
        <w:rPr>
          <w:rFonts w:ascii="Book Antiqua" w:hAnsi="Book Antiqua"/>
        </w:rPr>
      </w:pPr>
      <w:r>
        <w:rPr>
          <w:rFonts w:ascii="Book Antiqua" w:hAnsi="Book Antiqua"/>
        </w:rPr>
        <w:tab/>
        <w:t xml:space="preserve">Email:  </w:t>
      </w:r>
      <w:hyperlink r:id="rId9" w:history="1">
        <w:r w:rsidRPr="004D7611">
          <w:rPr>
            <w:rStyle w:val="Hyperlink"/>
            <w:rFonts w:ascii="Book Antiqua" w:hAnsi="Book Antiqua"/>
          </w:rPr>
          <w:t>taxdirector@co.mckenzie.nd.us</w:t>
        </w:r>
      </w:hyperlink>
      <w:r>
        <w:rPr>
          <w:rFonts w:ascii="Book Antiqua" w:hAnsi="Book Antiqua"/>
        </w:rPr>
        <w:t xml:space="preserve"> (this arrives to all of us in the office)</w:t>
      </w:r>
    </w:p>
    <w:p w:rsidR="008067E3" w:rsidRDefault="008067E3" w:rsidP="008067E3">
      <w:pPr>
        <w:spacing w:after="0"/>
        <w:rPr>
          <w:rFonts w:ascii="Book Antiqua" w:hAnsi="Book Antiqua"/>
        </w:rPr>
      </w:pPr>
      <w:r>
        <w:rPr>
          <w:rFonts w:ascii="Book Antiqua" w:hAnsi="Book Antiqua"/>
        </w:rPr>
        <w:tab/>
        <w:t>Fax:  701-444-3902</w:t>
      </w:r>
    </w:p>
    <w:p w:rsidR="008067E3" w:rsidRPr="008067E3" w:rsidRDefault="008067E3" w:rsidP="008067E3">
      <w:pPr>
        <w:spacing w:after="0"/>
        <w:rPr>
          <w:rFonts w:ascii="Book Antiqua" w:hAnsi="Book Antiqua"/>
        </w:rPr>
      </w:pPr>
    </w:p>
    <w:p w:rsidR="008067E3" w:rsidRPr="008067E3" w:rsidRDefault="008067E3">
      <w:pPr>
        <w:rPr>
          <w:rFonts w:ascii="Book Antiqua" w:hAnsi="Book Antiqua"/>
        </w:rPr>
      </w:pPr>
      <w:r w:rsidRPr="008067E3">
        <w:rPr>
          <w:rFonts w:ascii="Book Antiqua" w:hAnsi="Book Antiqua"/>
        </w:rPr>
        <w:t>Also, the law change only applies to 2020, so we can’t go back and apply the new rules for previous years.</w:t>
      </w:r>
      <w:r>
        <w:rPr>
          <w:rFonts w:ascii="Book Antiqua" w:hAnsi="Book Antiqua"/>
        </w:rPr>
        <w:t xml:space="preserve">  </w:t>
      </w:r>
    </w:p>
    <w:p w:rsidR="008067E3" w:rsidRDefault="008067E3">
      <w:pPr>
        <w:rPr>
          <w:rFonts w:ascii="Book Antiqua" w:hAnsi="Book Antiqua"/>
        </w:rPr>
      </w:pPr>
      <w:r w:rsidRPr="008067E3">
        <w:rPr>
          <w:rFonts w:ascii="Book Antiqua" w:hAnsi="Book Antiqua"/>
        </w:rPr>
        <w:t xml:space="preserve">We hope this letter finds you well, and we look forward to working with all of you to gather the </w:t>
      </w:r>
      <w:proofErr w:type="gramStart"/>
      <w:r w:rsidRPr="008067E3">
        <w:rPr>
          <w:rFonts w:ascii="Book Antiqua" w:hAnsi="Book Antiqua"/>
        </w:rPr>
        <w:t>paperwork</w:t>
      </w:r>
      <w:proofErr w:type="gramEnd"/>
      <w:r w:rsidRPr="008067E3">
        <w:rPr>
          <w:rFonts w:ascii="Book Antiqua" w:hAnsi="Book Antiqua"/>
        </w:rPr>
        <w:t xml:space="preserve"> needed for this program.</w:t>
      </w:r>
    </w:p>
    <w:p w:rsidR="008067E3" w:rsidRDefault="008067E3">
      <w:pPr>
        <w:rPr>
          <w:rFonts w:ascii="Book Antiqua" w:hAnsi="Book Antiqua"/>
        </w:rPr>
      </w:pPr>
    </w:p>
    <w:p w:rsidR="008067E3" w:rsidRDefault="008067E3">
      <w:pPr>
        <w:rPr>
          <w:rFonts w:ascii="Book Antiqua" w:hAnsi="Book Antiqua"/>
        </w:rPr>
      </w:pPr>
      <w:r>
        <w:rPr>
          <w:rFonts w:ascii="Book Antiqua" w:hAnsi="Book Antiqua"/>
        </w:rPr>
        <w:t>Sincerely,</w:t>
      </w:r>
    </w:p>
    <w:p w:rsidR="008067E3" w:rsidRDefault="008067E3">
      <w:pPr>
        <w:rPr>
          <w:rFonts w:ascii="Book Antiqua" w:hAnsi="Book Antiqua"/>
        </w:rPr>
      </w:pPr>
    </w:p>
    <w:p w:rsidR="008067E3" w:rsidRDefault="008067E3">
      <w:pPr>
        <w:rPr>
          <w:rFonts w:ascii="Book Antiqua" w:hAnsi="Book Antiqua"/>
        </w:rPr>
      </w:pPr>
    </w:p>
    <w:p w:rsidR="008067E3" w:rsidRDefault="008067E3">
      <w:pPr>
        <w:rPr>
          <w:rFonts w:ascii="Book Antiqua" w:hAnsi="Book Antiqua"/>
        </w:rPr>
      </w:pPr>
      <w:r>
        <w:rPr>
          <w:rFonts w:ascii="Book Antiqua" w:hAnsi="Book Antiqua"/>
        </w:rPr>
        <w:t>Katie Paulson, Tax Director</w:t>
      </w:r>
    </w:p>
    <w:p w:rsidR="008067E3" w:rsidRDefault="008067E3">
      <w:pPr>
        <w:rPr>
          <w:rFonts w:ascii="Book Antiqua" w:hAnsi="Book Antiqua"/>
        </w:rPr>
      </w:pPr>
      <w:r>
        <w:rPr>
          <w:rFonts w:ascii="Book Antiqua" w:hAnsi="Book Antiqua"/>
        </w:rPr>
        <w:t>Keith Tschetter, Certified Tax Manager</w:t>
      </w:r>
    </w:p>
    <w:p w:rsidR="00C4789E" w:rsidRDefault="00C4789E">
      <w:pPr>
        <w:rPr>
          <w:rFonts w:ascii="Book Antiqua" w:hAnsi="Book Antiqua"/>
        </w:rPr>
      </w:pPr>
      <w:r>
        <w:rPr>
          <w:rFonts w:ascii="Book Antiqua" w:hAnsi="Book Antiqua"/>
        </w:rPr>
        <w:t>Office Phone:  701-444-3616 x 4</w:t>
      </w:r>
      <w:bookmarkStart w:id="0" w:name="_GoBack"/>
      <w:bookmarkEnd w:id="0"/>
    </w:p>
    <w:p w:rsidR="008067E3" w:rsidRPr="008067E3" w:rsidRDefault="008067E3">
      <w:pPr>
        <w:rPr>
          <w:rFonts w:ascii="Book Antiqua" w:hAnsi="Book Antiqua"/>
        </w:rPr>
      </w:pPr>
    </w:p>
    <w:p w:rsidR="008067E3" w:rsidRPr="008067E3" w:rsidRDefault="008067E3">
      <w:pPr>
        <w:rPr>
          <w:rFonts w:ascii="Book Antiqua" w:hAnsi="Book Antiqua"/>
        </w:rPr>
      </w:pPr>
    </w:p>
    <w:sectPr w:rsidR="008067E3" w:rsidRPr="0080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5B5F"/>
    <w:multiLevelType w:val="multilevel"/>
    <w:tmpl w:val="25906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B8"/>
    <w:rsid w:val="000A5C2F"/>
    <w:rsid w:val="0023116E"/>
    <w:rsid w:val="003B2E80"/>
    <w:rsid w:val="005553B8"/>
    <w:rsid w:val="006E31F5"/>
    <w:rsid w:val="008067E3"/>
    <w:rsid w:val="009775FC"/>
    <w:rsid w:val="00AF7F58"/>
    <w:rsid w:val="00C4789E"/>
    <w:rsid w:val="00E4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3B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3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nd.gov/cencode/t57c02.pdf" TargetMode="External"/><Relationship Id="rId3" Type="http://schemas.microsoft.com/office/2007/relationships/stylesWithEffects" Target="stylesWithEffects.xml"/><Relationship Id="rId7" Type="http://schemas.openxmlformats.org/officeDocument/2006/relationships/hyperlink" Target="https://www.legis.nd.gov/assembly/66-2019/documents/19-1117-030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nd.gov/assembly/66-2019/documents/19-0809-0400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xdirector@co.mckenzie.n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Paulson</dc:creator>
  <cp:lastModifiedBy>Katie Paulson</cp:lastModifiedBy>
  <cp:revision>2</cp:revision>
  <cp:lastPrinted>2020-01-29T15:59:00Z</cp:lastPrinted>
  <dcterms:created xsi:type="dcterms:W3CDTF">2020-01-28T18:39:00Z</dcterms:created>
  <dcterms:modified xsi:type="dcterms:W3CDTF">2020-01-30T14:31:00Z</dcterms:modified>
</cp:coreProperties>
</file>